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886BE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804B6E">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804B6E">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804B6E">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804B6E">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804B6E">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804B6E">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804B6E">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804B6E">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804B6E">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804B6E">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804B6E">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804B6E">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804B6E">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804B6E">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804B6E">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804B6E">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804B6E">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804B6E">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804B6E">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804B6E">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804B6E">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804B6E">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804B6E">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804B6E">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804B6E">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804B6E">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804B6E">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804B6E">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804B6E">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804B6E">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804B6E">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804B6E">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804B6E">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804B6E">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804B6E">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804B6E">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804B6E">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804B6E">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804B6E">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804B6E">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804B6E">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804B6E">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804B6E">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804B6E">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804B6E">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804B6E">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669"/>
        <w:gridCol w:w="5237"/>
        <w:gridCol w:w="244"/>
        <w:gridCol w:w="169"/>
        <w:gridCol w:w="413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76530F"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3EBDD5A" w:rsidR="00093CA9" w:rsidRPr="000B0053" w:rsidRDefault="009D2D3E" w:rsidP="00093CA9">
            <w:pPr>
              <w:rPr>
                <w:lang w:val="pt-BR"/>
              </w:rPr>
            </w:pPr>
            <w:proofErr w:type="spellStart"/>
            <w:r w:rsidRPr="000B0053">
              <w:rPr>
                <w:lang w:val="pt-BR"/>
              </w:rPr>
              <w:t>Brazilian</w:t>
            </w:r>
            <w:proofErr w:type="spellEnd"/>
            <w:r w:rsidRPr="000B0053">
              <w:rPr>
                <w:lang w:val="pt-BR"/>
              </w:rPr>
              <w:t xml:space="preserve"> Central Bank</w:t>
            </w:r>
            <w:r w:rsidR="00103318">
              <w:rPr>
                <w:lang w:val="pt-BR"/>
              </w:rPr>
              <w:t xml:space="preserve"> (BCB)</w:t>
            </w:r>
            <w:r w:rsidRPr="000B0053">
              <w:rPr>
                <w:lang w:val="pt-BR"/>
              </w:rPr>
              <w:t xml:space="preserve"> </w:t>
            </w:r>
            <w:proofErr w:type="spellStart"/>
            <w:r w:rsidRPr="000B0053">
              <w:rPr>
                <w:lang w:val="pt-BR"/>
              </w:rPr>
              <w:t>Resolution</w:t>
            </w:r>
            <w:proofErr w:type="spellEnd"/>
            <w:r w:rsidRPr="000B0053">
              <w:rPr>
                <w:lang w:val="pt-BR"/>
              </w:rPr>
              <w:t xml:space="preserve"> No. 331/2023 - (Resolução BCB nº 331/2023)</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6E27C52" w:rsidR="00093CA9" w:rsidRPr="000B0053" w:rsidRDefault="00804B6E" w:rsidP="00093CA9">
            <w:pPr>
              <w:rPr>
                <w:highlight w:val="yellow"/>
              </w:rPr>
            </w:pPr>
            <w:hyperlink r:id="rId19" w:history="1">
              <w:r w:rsidR="00041266" w:rsidRPr="00A53C93">
                <w:rPr>
                  <w:rStyle w:val="Hyperlink"/>
                </w:rPr>
                <w:t>https://web.archive.org/web/20250617171744/https://www.bcb.gov.br/estabilidadefinanceira/exibenormativo?tipo=Resolu%C3%A7%C3%A3o%20BCB&amp;numero=331</w:t>
              </w:r>
            </w:hyperlink>
            <w:r w:rsidR="00041266">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B705C36" w:rsidR="00093CA9" w:rsidRDefault="003B2B2B"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5DAE913B" w:rsidR="00093CA9" w:rsidRDefault="00103318" w:rsidP="002F6BB3">
            <w:pPr>
              <w:jc w:val="both"/>
            </w:pPr>
            <w:r w:rsidRPr="00103318">
              <w:rPr>
                <w:lang w:val="en-US"/>
              </w:rPr>
              <w:t xml:space="preserve">Brazilian Central Bank (BCB) Resolution No. 331/2023 </w:t>
            </w:r>
            <w:r w:rsidR="00DC06AA">
              <w:t>provides</w:t>
            </w:r>
            <w:r>
              <w:t xml:space="preserve"> for the Social, Environmental, and Climate Responsibility Policy (PRSAC) to be established by securities brokerage firms, securities distribution firms, and foreign exchange brokerage firms, as well as the actions aimed at ensuring its effectiveness. The PRSAC consists of a set of social, environmental, and climate-related principles and guidelines to be observed by the institution in the conduct of its business, activities, and processes, as well as in its relationship with stakeholders. The climate-related principles and guidelines refer to those that contribute positively to the institution’s transition to a low-carbon economy and to the reduction of impacts caused by frequent and severe weather events or long-term environmental changes that may be associated with shifts in climate patterns.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F954260" w:rsidR="00093CA9" w:rsidRDefault="002F6BB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5F97300" w:rsidR="00093CA9" w:rsidRPr="00173D7C" w:rsidRDefault="002F6BB3"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9495347" w:rsidR="00093CA9" w:rsidRPr="00173D7C" w:rsidRDefault="00CC0465"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B2D186E" w:rsidR="00093CA9" w:rsidRDefault="002F6BB3" w:rsidP="00093CA9">
            <w:r>
              <w:t>Brazilian Central Bank – 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0F137E" w:rsidR="00093CA9" w:rsidRPr="006B7B0D" w:rsidRDefault="002F6BB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82A234B" w:rsidR="00093CA9" w:rsidRDefault="006D7161"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31020E"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6852951" w:rsidR="00093CA9" w:rsidRPr="0031020E" w:rsidRDefault="0031020E" w:rsidP="0031020E">
            <w:pPr>
              <w:keepNext/>
              <w:jc w:val="both"/>
              <w:rPr>
                <w:color w:val="000000" w:themeColor="text1"/>
                <w:lang w:val="en-US"/>
              </w:rPr>
            </w:pPr>
            <w:r w:rsidRPr="0031020E">
              <w:rPr>
                <w:color w:val="000000" w:themeColor="text1"/>
                <w:lang w:val="en-US"/>
              </w:rPr>
              <w:t>The institutions affected by the Resolution must publicly disclose, in a single and easily identifiable location on the institution’s website, the following information: (</w:t>
            </w:r>
            <w:proofErr w:type="spellStart"/>
            <w:r w:rsidRPr="0031020E">
              <w:rPr>
                <w:color w:val="000000" w:themeColor="text1"/>
                <w:lang w:val="en-US"/>
              </w:rPr>
              <w:t>i</w:t>
            </w:r>
            <w:proofErr w:type="spellEnd"/>
            <w:r w:rsidRPr="0031020E">
              <w:rPr>
                <w:color w:val="000000" w:themeColor="text1"/>
                <w:lang w:val="en-US"/>
              </w:rPr>
              <w:t>) the PRSAC (Social, Environmental, and Climate Responsibility Policy); (ii) the actions implemented to ensure the effectiveness of the PRSAC, as well as the criteria used for its evaluation; (iii) when applicable: a) the list of economic sectors subject to restrictions in business conducted by the institution due to social, environmental, or climate-related aspects; b) the list of products and services offered by the institution that contribute positively to social, environmental, or climate-related aspects; c) the list of national or international pacts, agreements, or commitments of a social, environmental, or climate-related nature to which the institution or, where applicable, its foreign parent company is a party, when such obligations involve the Brazilian subsidiary; and d) the mechanisms used to promote stakeholder participation, if included in the process of establishing and reviewing the PRSAC (Article 10, items I to III).</w:t>
            </w:r>
          </w:p>
        </w:tc>
      </w:tr>
    </w:tbl>
    <w:p w14:paraId="6F36141D" w14:textId="193F21DA" w:rsidR="005F3137" w:rsidRPr="0031020E" w:rsidRDefault="005F3137">
      <w:pPr>
        <w:rPr>
          <w:lang w:val="en-US"/>
        </w:rPr>
      </w:pPr>
    </w:p>
    <w:p w14:paraId="4E5E0234" w14:textId="5F707638" w:rsidR="00A40404" w:rsidRDefault="005E50FD" w:rsidP="00A40404">
      <w:pPr>
        <w:pStyle w:val="Ttulo1"/>
      </w:pPr>
      <w:r w:rsidRPr="0031020E">
        <w:rPr>
          <w:lang w:val="en-US"/>
        </w:rP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76530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lastRenderedPageBreak/>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76530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76530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76530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19FDF24" w:rsidR="00D4323A" w:rsidRPr="00CF2E7C" w:rsidRDefault="00225CEC"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6571578F" w:rsidR="00DD292A" w:rsidRPr="00CF2E7C" w:rsidRDefault="00623F05"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4838F871" w:rsidR="00DD292A" w:rsidRPr="00CF2E7C" w:rsidRDefault="00623F05"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AD0EF2"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2A22E97C" w:rsidR="00DD292A" w:rsidRPr="00AD0EF2" w:rsidRDefault="00AD0EF2" w:rsidP="00AD0EF2">
            <w:pPr>
              <w:jc w:val="both"/>
              <w:rPr>
                <w:rFonts w:ascii="Calibri" w:hAnsi="Calibri" w:cs="Calibri"/>
                <w:lang w:val="en-US"/>
              </w:rPr>
            </w:pPr>
            <w:r>
              <w:rPr>
                <w:rFonts w:ascii="Calibri" w:hAnsi="Calibri" w:cs="Calibri"/>
                <w:lang w:val="en-US"/>
              </w:rPr>
              <w:t xml:space="preserve">The policy tool is applicable to </w:t>
            </w:r>
            <w:r w:rsidRPr="00AD0EF2">
              <w:rPr>
                <w:rFonts w:ascii="Calibri" w:hAnsi="Calibri" w:cs="Calibri"/>
                <w:lang w:val="en-US"/>
              </w:rPr>
              <w:t>securities brokerage firm</w:t>
            </w:r>
            <w:r>
              <w:rPr>
                <w:rFonts w:ascii="Calibri" w:hAnsi="Calibri" w:cs="Calibri"/>
                <w:lang w:val="en-US"/>
              </w:rPr>
              <w:t xml:space="preserve">s, </w:t>
            </w:r>
            <w:r w:rsidRPr="00AD0EF2">
              <w:rPr>
                <w:rFonts w:ascii="Calibri" w:hAnsi="Calibri" w:cs="Calibri"/>
                <w:lang w:val="en-US"/>
              </w:rPr>
              <w:t>securities distribution firm</w:t>
            </w:r>
            <w:r>
              <w:rPr>
                <w:rFonts w:ascii="Calibri" w:hAnsi="Calibri" w:cs="Calibri"/>
                <w:lang w:val="en-US"/>
              </w:rPr>
              <w:t xml:space="preserve">s and </w:t>
            </w:r>
            <w:r w:rsidRPr="00AD0EF2">
              <w:rPr>
                <w:rFonts w:ascii="Calibri" w:hAnsi="Calibri" w:cs="Calibri"/>
                <w:lang w:val="en-US"/>
              </w:rPr>
              <w:t>foreign exchange brokerage firm</w:t>
            </w:r>
            <w:r>
              <w:rPr>
                <w:rFonts w:ascii="Calibri" w:hAnsi="Calibri" w:cs="Calibri"/>
                <w:lang w:val="en-US"/>
              </w:rPr>
              <w:t>s (article 2, item III, Resolution BCB No. 436/2024) and</w:t>
            </w:r>
            <w:r w:rsidR="004D31DC" w:rsidRPr="004D31DC">
              <w:rPr>
                <w:rFonts w:ascii="Calibri" w:hAnsi="Calibri" w:cs="Calibri"/>
                <w:lang w:val="en-US"/>
              </w:rPr>
              <w:t xml:space="preserve"> </w:t>
            </w:r>
            <w:r w:rsidR="004D31DC">
              <w:rPr>
                <w:rFonts w:ascii="Calibri" w:hAnsi="Calibri" w:cs="Calibri"/>
                <w:lang w:val="en-US"/>
              </w:rPr>
              <w:t xml:space="preserve">to </w:t>
            </w:r>
            <w:r w:rsidRPr="00AD0EF2">
              <w:rPr>
                <w:rFonts w:ascii="Calibri" w:hAnsi="Calibri" w:cs="Calibri"/>
                <w:lang w:val="en-US"/>
              </w:rPr>
              <w:t xml:space="preserve">prudential conglomerate led by a securities brokerage firm, a securities distribution firm, or a foreign exchange brokerage firm, and prudential conglomerate led by a payment institution, except for those listed in </w:t>
            </w:r>
            <w:r>
              <w:rPr>
                <w:rFonts w:ascii="Calibri" w:hAnsi="Calibri" w:cs="Calibri"/>
                <w:lang w:val="en-US"/>
              </w:rPr>
              <w:t>a</w:t>
            </w:r>
            <w:r w:rsidRPr="00AD0EF2">
              <w:rPr>
                <w:rFonts w:ascii="Calibri" w:hAnsi="Calibri" w:cs="Calibri"/>
                <w:lang w:val="en-US"/>
              </w:rPr>
              <w:t>rticle 2, item II of BCB Resolution No. 436/2024.</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6DDFD7DF"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lastRenderedPageBreak/>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76530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3F6983BE" w:rsidR="00DD292A" w:rsidRPr="00CF2E7C" w:rsidRDefault="0076530F" w:rsidP="00CF2E7C">
            <w:pPr>
              <w:rPr>
                <w:rFonts w:ascii="Calibri" w:hAnsi="Calibri" w:cs="Calibri"/>
              </w:rPr>
            </w:pPr>
            <w:r>
              <w:rPr>
                <w:rFonts w:ascii="Calibri" w:hAnsi="Calibri" w:cs="Calibri"/>
              </w:rPr>
              <w:t>X</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10B7DFD5" w:rsidR="00DD292A" w:rsidRPr="00CF2E7C" w:rsidRDefault="0076530F"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DEFE212"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23EE9713" w:rsidR="00DD3B33" w:rsidRPr="00CF2E7C" w:rsidRDefault="009C73B1"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51A75EEA" w:rsidR="00DD3B33" w:rsidRPr="00CF2E7C" w:rsidRDefault="0076530F" w:rsidP="00CF2E7C">
            <w:pPr>
              <w:rPr>
                <w:rFonts w:ascii="Calibri" w:hAnsi="Calibri" w:cs="Calibri"/>
              </w:rPr>
            </w:pPr>
            <w:r w:rsidRPr="008F6799">
              <w:t xml:space="preserve">There is no specific provision in the Resolution concerning sanctions for non-compliance. The Central Bank of Brazil has the discretion to impose appropriate measures as it deems fit. The potential penalties are outlined in Resolution BCB No. 131 of August 20, </w:t>
            </w:r>
            <w:proofErr w:type="gramStart"/>
            <w:r w:rsidRPr="008F6799">
              <w:t>2021</w:t>
            </w:r>
            <w:proofErr w:type="gramEnd"/>
            <w:r w:rsidRPr="008F6799">
              <w:t xml:space="preserve"> and include fines, prohibition from providing certain services, prohibition from conducting certain activities or types of operations, and disqualification.</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32676D1" w:rsidR="00DD292A" w:rsidRPr="00CF2E7C" w:rsidRDefault="009C73B1"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30A6576" w:rsidR="00DD292A" w:rsidRPr="00CF2E7C" w:rsidRDefault="009C73B1"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1C9C4693" w:rsidR="00410853" w:rsidRPr="00CF2E7C" w:rsidRDefault="009C73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14434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E0D8D1" w14:textId="79E9B9F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14434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8C74092" w14:textId="1690CD72"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14434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A35B604" w14:textId="4C263A3F"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14434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13DD0D8" w14:textId="719566B0"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B916C0C" w:rsidR="008C4722" w:rsidRPr="00CF2E7C" w:rsidRDefault="001443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4EAB072" w:rsidR="008C4722" w:rsidRPr="00CF2E7C" w:rsidRDefault="001443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A7FE613" w:rsidR="008C4722" w:rsidRPr="00CF2E7C" w:rsidRDefault="001443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37AA2684" w:rsidR="008C4722" w:rsidRPr="00CF2E7C" w:rsidRDefault="001443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144342">
        <w:trPr>
          <w:trHeight w:val="352"/>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30DFB364"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2C2082"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47872C33" w:rsidR="008C4722" w:rsidRPr="002C2082" w:rsidRDefault="002C2082" w:rsidP="00CF2E7C">
            <w:pPr>
              <w:textAlignment w:val="baseline"/>
              <w:rPr>
                <w:rFonts w:ascii="Calibri" w:eastAsia="Times New Roman" w:hAnsi="Calibri" w:cs="Calibri"/>
                <w:kern w:val="0"/>
                <w:lang w:val="en-US" w:eastAsia="en-GB"/>
                <w14:ligatures w14:val="none"/>
              </w:rPr>
            </w:pPr>
            <w:r w:rsidRPr="002C2082">
              <w:rPr>
                <w:rFonts w:ascii="Calibri" w:eastAsia="Times New Roman" w:hAnsi="Calibri" w:cs="Calibri"/>
                <w:kern w:val="0"/>
                <w:lang w:val="en-US" w:eastAsia="en-GB"/>
                <w14:ligatures w14:val="none"/>
              </w:rPr>
              <w:t>The PRSAC and the actions aimed at its effectiveness must be appropriate to the scale and relevance of exposure to social, environmental, and climate risk, as addressed in BCB Resolution No. 265/2022 (</w:t>
            </w:r>
            <w:r w:rsidR="00803FC8">
              <w:rPr>
                <w:rFonts w:ascii="Calibri" w:eastAsia="Times New Roman" w:hAnsi="Calibri" w:cs="Calibri"/>
                <w:kern w:val="0"/>
                <w:lang w:val="en-US" w:eastAsia="en-GB"/>
                <w14:ligatures w14:val="none"/>
              </w:rPr>
              <w:t>article</w:t>
            </w:r>
            <w:r w:rsidRPr="002C2082">
              <w:rPr>
                <w:rFonts w:ascii="Calibri" w:eastAsia="Times New Roman" w:hAnsi="Calibri" w:cs="Calibri"/>
                <w:kern w:val="0"/>
                <w:lang w:val="en-US" w:eastAsia="en-GB"/>
                <w14:ligatures w14:val="none"/>
              </w:rPr>
              <w:t xml:space="preserve"> 2,</w:t>
            </w:r>
            <w:r>
              <w:rPr>
                <w:rFonts w:ascii="Calibri" w:eastAsia="Times New Roman" w:hAnsi="Calibri" w:cs="Calibri"/>
                <w:kern w:val="0"/>
                <w:lang w:val="en-US" w:eastAsia="en-GB"/>
                <w14:ligatures w14:val="none"/>
              </w:rPr>
              <w:t xml:space="preserve"> item</w:t>
            </w:r>
            <w:r w:rsidRPr="002C2082">
              <w:rPr>
                <w:rFonts w:ascii="Calibri" w:eastAsia="Times New Roman" w:hAnsi="Calibri" w:cs="Calibri"/>
                <w:kern w:val="0"/>
                <w:lang w:val="en-US" w:eastAsia="en-GB"/>
                <w14:ligatures w14:val="none"/>
              </w:rPr>
              <w:t xml:space="preserve"> II).</w:t>
            </w:r>
            <w:r>
              <w:rPr>
                <w:rFonts w:ascii="Calibri" w:eastAsia="Times New Roman" w:hAnsi="Calibri" w:cs="Calibri"/>
                <w:kern w:val="0"/>
                <w:lang w:val="en-US" w:eastAsia="en-GB"/>
                <w14:ligatures w14:val="none"/>
              </w:rPr>
              <w:t xml:space="preserve"> It also stablishes that the </w:t>
            </w:r>
            <w:r w:rsidRPr="002C2082">
              <w:rPr>
                <w:rFonts w:ascii="Calibri" w:eastAsia="Times New Roman" w:hAnsi="Calibri" w:cs="Calibri"/>
                <w:kern w:val="0"/>
                <w:lang w:val="en-US" w:eastAsia="en-GB"/>
                <w14:ligatures w14:val="none"/>
              </w:rPr>
              <w:t>social, environmental, and climate responsibility committee, linked to the board of directors</w:t>
            </w:r>
            <w:r w:rsidR="00803FC8">
              <w:rPr>
                <w:rFonts w:ascii="Calibri" w:eastAsia="Times New Roman" w:hAnsi="Calibri" w:cs="Calibri"/>
                <w:kern w:val="0"/>
                <w:lang w:val="en-US" w:eastAsia="en-GB"/>
                <w14:ligatures w14:val="none"/>
              </w:rPr>
              <w:t xml:space="preserve"> </w:t>
            </w:r>
            <w:r w:rsidR="00803FC8" w:rsidRPr="00803FC8">
              <w:rPr>
                <w:rFonts w:ascii="Calibri" w:eastAsia="Times New Roman" w:hAnsi="Calibri" w:cs="Calibri"/>
                <w:kern w:val="0"/>
                <w:lang w:val="en-US" w:eastAsia="en-GB"/>
                <w14:ligatures w14:val="none"/>
              </w:rPr>
              <w:t xml:space="preserve">must coordinate its activities with the risk committee, as provided for in BCB Resolution No. 265 of 2022, </w:t>
            </w:r>
            <w:proofErr w:type="gramStart"/>
            <w:r w:rsidR="00803FC8" w:rsidRPr="00803FC8">
              <w:rPr>
                <w:rFonts w:ascii="Calibri" w:eastAsia="Times New Roman" w:hAnsi="Calibri" w:cs="Calibri"/>
                <w:kern w:val="0"/>
                <w:lang w:val="en-US" w:eastAsia="en-GB"/>
                <w14:ligatures w14:val="none"/>
              </w:rPr>
              <w:t>in order to</w:t>
            </w:r>
            <w:proofErr w:type="gramEnd"/>
            <w:r w:rsidR="00803FC8" w:rsidRPr="00803FC8">
              <w:rPr>
                <w:rFonts w:ascii="Calibri" w:eastAsia="Times New Roman" w:hAnsi="Calibri" w:cs="Calibri"/>
                <w:kern w:val="0"/>
                <w:lang w:val="en-US" w:eastAsia="en-GB"/>
                <w14:ligatures w14:val="none"/>
              </w:rPr>
              <w:t xml:space="preserve"> facilitate the exchange of information</w:t>
            </w:r>
            <w:r w:rsidR="00803FC8">
              <w:rPr>
                <w:rFonts w:ascii="Calibri" w:eastAsia="Times New Roman" w:hAnsi="Calibri" w:cs="Calibri"/>
                <w:kern w:val="0"/>
                <w:lang w:val="en-US" w:eastAsia="en-GB"/>
                <w14:ligatures w14:val="none"/>
              </w:rPr>
              <w:t xml:space="preserve"> (article 6, 3</w:t>
            </w:r>
            <w:r w:rsidR="00803FC8" w:rsidRPr="00803FC8">
              <w:rPr>
                <w:rFonts w:ascii="Calibri" w:eastAsia="Times New Roman" w:hAnsi="Calibri" w:cs="Calibri"/>
                <w:kern w:val="0"/>
                <w:vertAlign w:val="superscript"/>
                <w:lang w:val="en-US" w:eastAsia="en-GB"/>
                <w14:ligatures w14:val="none"/>
              </w:rPr>
              <w:t>rd</w:t>
            </w:r>
            <w:r w:rsidR="00803FC8">
              <w:rPr>
                <w:rFonts w:ascii="Calibri" w:eastAsia="Times New Roman" w:hAnsi="Calibri" w:cs="Calibri"/>
                <w:kern w:val="0"/>
                <w:lang w:val="en-US" w:eastAsia="en-GB"/>
                <w14:ligatures w14:val="none"/>
              </w:rPr>
              <w:t xml:space="preserve"> paragraph).</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427FC55" w:rsidR="008C4722" w:rsidRPr="00CF2E7C" w:rsidRDefault="00803F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548CD4DF" w:rsidR="007B7DEE" w:rsidRPr="00CF2E7C" w:rsidRDefault="00803F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39CF4F12" w:rsidR="00ED7E12" w:rsidRPr="00CF2E7C" w:rsidRDefault="00803F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5A80E5DF" w:rsidR="00ED7E12" w:rsidRPr="00CF2E7C" w:rsidRDefault="00803F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stablishes that d</w:t>
            </w:r>
            <w:r w:rsidRPr="00803FC8">
              <w:rPr>
                <w:rFonts w:ascii="Calibri" w:eastAsia="Times New Roman" w:hAnsi="Calibri" w:cs="Calibri"/>
                <w:kern w:val="0"/>
                <w:lang w:eastAsia="en-GB"/>
                <w14:ligatures w14:val="none"/>
              </w:rPr>
              <w:t>ocumentation related to the establishment of the PRSAC and the implementation of actions aimed at its effectiveness must be kept available to the Central Bank of Brazil for five years</w:t>
            </w:r>
            <w:r>
              <w:rPr>
                <w:rFonts w:ascii="Calibri" w:eastAsia="Times New Roman" w:hAnsi="Calibri" w:cs="Calibri"/>
                <w:kern w:val="0"/>
                <w:lang w:eastAsia="en-GB"/>
                <w14:ligatures w14:val="none"/>
              </w:rPr>
              <w:t xml:space="preserve"> (article 12) and i</w:t>
            </w:r>
            <w:r w:rsidRPr="00803FC8">
              <w:rPr>
                <w:rFonts w:ascii="Calibri" w:eastAsia="Times New Roman" w:hAnsi="Calibri" w:cs="Calibri"/>
                <w:kern w:val="0"/>
                <w:lang w:eastAsia="en-GB"/>
                <w14:ligatures w14:val="none"/>
              </w:rPr>
              <w:t>f inadequacies or deficiencies are identified in the controls and procedures related to the establishment of the PRSAC and the implementation of actions aimed at its effectiveness, the Central Bank of Brazil may mandate improvements</w:t>
            </w:r>
            <w:r>
              <w:rPr>
                <w:rFonts w:ascii="Calibri" w:eastAsia="Times New Roman" w:hAnsi="Calibri" w:cs="Calibri"/>
                <w:kern w:val="0"/>
                <w:lang w:eastAsia="en-GB"/>
                <w14:ligatures w14:val="none"/>
              </w:rPr>
              <w:t xml:space="preserve"> (article 13)</w:t>
            </w:r>
            <w:r w:rsidRPr="00803FC8">
              <w:rPr>
                <w:rFonts w:ascii="Calibri" w:eastAsia="Times New Roman" w:hAnsi="Calibri" w:cs="Calibri"/>
                <w:kern w:val="0"/>
                <w:lang w:eastAsia="en-GB"/>
                <w14:ligatures w14:val="none"/>
              </w:rPr>
              <w:t>.</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C1FE43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234B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DB202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342">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590B4D6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34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21A5B8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342">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6127159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342">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337507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44342">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5B367D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74DF4417" w:rsidR="00C82860" w:rsidRPr="00CF2E7C" w:rsidRDefault="001443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3093E5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4D3EBB7E" w:rsidR="00C82860" w:rsidRPr="00CF2E7C" w:rsidRDefault="0014434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Article 10 establishes that </w:t>
            </w:r>
            <w:r w:rsidRPr="00144342">
              <w:rPr>
                <w:rFonts w:ascii="Calibri" w:eastAsia="Times New Roman" w:hAnsi="Calibri" w:cs="Calibri"/>
                <w:kern w:val="0"/>
                <w:lang w:eastAsia="en-GB"/>
                <w14:ligatures w14:val="none"/>
              </w:rPr>
              <w:t>PRSAC and the actions implemented to ensure its effectiveness, as well as the criteria for its evaluation, must be disclosed to the external public.</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2356F000" w:rsidR="00C82860" w:rsidRPr="00CF2E7C" w:rsidRDefault="00D234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5941F56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234B7">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526F921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234B7">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1D4415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234B7">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57FADD7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234B7">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AABA51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25E8644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5F5BCF3C"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602A09A9"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47C18291"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65BADD46"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62F67E57" w:rsidR="00F26296" w:rsidRPr="00CF2E7C" w:rsidRDefault="00D234B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2559CCD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234B7">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01130F0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234B7">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4CC7B626"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144342">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6BADE2A8" w14:textId="24A3A2FA"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59C9B8" w14:textId="77777777" w:rsidTr="00144342">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3353CFDB" w14:textId="34B01C20"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2EB7594" w14:textId="77777777" w:rsidTr="00144342">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tcPr>
          <w:p w14:paraId="0DF59F43" w14:textId="6333C02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535F91C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14685191"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23"/>
        <w:gridCol w:w="4368"/>
        <w:gridCol w:w="2258"/>
        <w:gridCol w:w="1660"/>
        <w:gridCol w:w="1741"/>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E26DB9E" w:rsidR="00702413" w:rsidRPr="009C4D10" w:rsidRDefault="0014434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0BE84815" w:rsidR="00702413" w:rsidRPr="009C4D10" w:rsidRDefault="00144342" w:rsidP="00CF2E7C">
            <w:pPr>
              <w:textAlignment w:val="baseline"/>
              <w:rPr>
                <w:rFonts w:eastAsia="Times New Roman" w:cstheme="minorHAnsi"/>
                <w:kern w:val="0"/>
                <w:lang w:eastAsia="en-GB"/>
                <w14:ligatures w14:val="none"/>
              </w:rPr>
            </w:pPr>
            <w:r>
              <w:t xml:space="preserve">One major barrier is the </w:t>
            </w:r>
            <w:r>
              <w:rPr>
                <w:rStyle w:val="Forte"/>
              </w:rPr>
              <w:t>lack of standardized data and methodologies</w:t>
            </w:r>
            <w:r>
              <w:t xml:space="preserve"> to assess climate-related risks accurately, which hampers effective supervision and risk quantification. Additionally, </w:t>
            </w:r>
            <w:r>
              <w:rPr>
                <w:rStyle w:val="Forte"/>
              </w:rPr>
              <w:t>the forward-looking nature of climate risks</w:t>
            </w:r>
            <w:r>
              <w:t>, including long time horizons and uncertainty around policy transitions, makes it difficult for financial institutions to integrate these risks into traditional risk management frameworks.</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E327213" w:rsidR="00FE0EA5" w:rsidRPr="009C4D10" w:rsidRDefault="00FE0EA5" w:rsidP="00CF2E7C">
            <w:pPr>
              <w:rPr>
                <w:rFonts w:cstheme="minorHAnsi"/>
              </w:rPr>
            </w:pPr>
            <w:r w:rsidRPr="009C4D10">
              <w:rPr>
                <w:rFonts w:cstheme="minorHAnsi"/>
                <w:lang w:val="en-SG"/>
              </w:rPr>
              <w:t> </w:t>
            </w:r>
            <w:r w:rsidRPr="009C4D10">
              <w:rPr>
                <w:rFonts w:cstheme="minorHAnsi"/>
              </w:rPr>
              <w:t> </w:t>
            </w:r>
            <w:r w:rsidR="00D234B7">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604F0463" w:rsidR="00FE0EA5" w:rsidRPr="009C4D10" w:rsidRDefault="00FE0EA5" w:rsidP="00CF2E7C">
            <w:pPr>
              <w:rPr>
                <w:rFonts w:cstheme="minorHAnsi"/>
              </w:rPr>
            </w:pPr>
            <w:r w:rsidRPr="009C4D10">
              <w:rPr>
                <w:rFonts w:cstheme="minorHAnsi"/>
                <w:lang w:val="en-SG"/>
              </w:rPr>
              <w:t> </w:t>
            </w:r>
            <w:r w:rsidRPr="009C4D10">
              <w:rPr>
                <w:rFonts w:cstheme="minorHAnsi"/>
              </w:rPr>
              <w:t> </w:t>
            </w:r>
            <w:r w:rsidR="00D234B7">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804B6E"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6EE56969" w:rsidR="00FE0EA5" w:rsidRPr="009C4D10" w:rsidRDefault="00FE0EA5" w:rsidP="00CF2E7C">
            <w:pPr>
              <w:rPr>
                <w:rFonts w:cstheme="minorHAnsi"/>
              </w:rPr>
            </w:pPr>
            <w:r w:rsidRPr="009C4D10">
              <w:rPr>
                <w:rFonts w:cstheme="minorHAnsi"/>
                <w:lang w:val="en-SG"/>
              </w:rPr>
              <w:t> </w:t>
            </w:r>
            <w:r w:rsidRPr="009C4D10">
              <w:rPr>
                <w:rFonts w:cstheme="minorHAnsi"/>
              </w:rPr>
              <w:t> </w:t>
            </w:r>
            <w:r w:rsidR="00D234B7">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804B6E"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209CCE4" w:rsidR="00FE0EA5" w:rsidRPr="009C4D10" w:rsidRDefault="00FE0EA5" w:rsidP="00CF2E7C">
            <w:pPr>
              <w:rPr>
                <w:rFonts w:cstheme="minorHAnsi"/>
              </w:rPr>
            </w:pPr>
            <w:r w:rsidRPr="009C4D10">
              <w:rPr>
                <w:rFonts w:cstheme="minorHAnsi"/>
                <w:lang w:val="en-SG"/>
              </w:rPr>
              <w:t> </w:t>
            </w:r>
            <w:r w:rsidRPr="009C4D10">
              <w:rPr>
                <w:rFonts w:cstheme="minorHAnsi"/>
              </w:rPr>
              <w:t> </w:t>
            </w:r>
            <w:r w:rsidR="00D234B7">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D062875" w:rsidR="00FE0EA5" w:rsidRPr="009C4D10" w:rsidRDefault="00FE0EA5" w:rsidP="00CF2E7C">
            <w:pPr>
              <w:rPr>
                <w:rFonts w:cstheme="minorHAnsi"/>
              </w:rPr>
            </w:pPr>
            <w:r w:rsidRPr="009C4D10">
              <w:rPr>
                <w:rFonts w:cstheme="minorHAnsi"/>
                <w:lang w:val="en-SG"/>
              </w:rPr>
              <w:t> </w:t>
            </w:r>
            <w:r w:rsidRPr="009C4D10">
              <w:rPr>
                <w:rFonts w:cstheme="minorHAnsi"/>
              </w:rPr>
              <w:t> </w:t>
            </w:r>
            <w:r w:rsidR="00D234B7">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04B046A" w:rsidR="00FE0EA5" w:rsidRPr="009C4D10" w:rsidRDefault="00FE0EA5" w:rsidP="00CF2E7C">
            <w:pPr>
              <w:rPr>
                <w:rFonts w:cstheme="minorHAnsi"/>
              </w:rPr>
            </w:pPr>
            <w:r w:rsidRPr="009C4D10">
              <w:rPr>
                <w:rFonts w:cstheme="minorHAnsi"/>
              </w:rPr>
              <w:t>  </w:t>
            </w:r>
            <w:r w:rsidR="00D234B7">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08F556B7" w:rsidR="00FE0EA5" w:rsidRPr="009C4D10" w:rsidRDefault="00FE0EA5" w:rsidP="00CF2E7C">
            <w:pPr>
              <w:rPr>
                <w:rFonts w:cstheme="minorHAnsi"/>
              </w:rPr>
            </w:pPr>
            <w:r w:rsidRPr="009C4D10">
              <w:rPr>
                <w:rFonts w:cstheme="minorHAnsi"/>
                <w:lang w:val="en-SG"/>
              </w:rPr>
              <w:t> </w:t>
            </w:r>
            <w:r w:rsidRPr="009C4D10">
              <w:rPr>
                <w:rFonts w:cstheme="minorHAnsi"/>
              </w:rPr>
              <w:t> </w:t>
            </w:r>
            <w:r w:rsidR="00D234B7">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F319AD7" w14:textId="33833A91" w:rsidR="00C01AF9" w:rsidRDefault="007F3F30" w:rsidP="00CF2E7C">
            <w:r>
              <w:rPr>
                <w:rFonts w:cstheme="minorHAnsi"/>
              </w:rPr>
              <w:t xml:space="preserve">Resolution BCB No 436/2024: </w:t>
            </w:r>
            <w:hyperlink r:id="rId22" w:history="1">
              <w:r w:rsidR="00377854" w:rsidRPr="00A53C93">
                <w:rPr>
                  <w:rStyle w:val="Hyperlink"/>
                </w:rPr>
                <w:t>https://web.archive.org/web/20250630195536/https://www.bcb.gov.br/estabilidadefinanceira/exibenormativo?tipo=Resolu%C3%A7%C3%A3o%20BCB&amp;numero=436</w:t>
              </w:r>
            </w:hyperlink>
            <w:r w:rsidR="00377854">
              <w:t xml:space="preserve"> </w:t>
            </w:r>
          </w:p>
          <w:p w14:paraId="1F73A4F7" w14:textId="77777777" w:rsidR="0035266E" w:rsidRDefault="007F3F30" w:rsidP="00CF2E7C">
            <w:r>
              <w:t xml:space="preserve">Resolution BCB No 265/2022: </w:t>
            </w:r>
          </w:p>
          <w:p w14:paraId="7478C0BE" w14:textId="4F5D47AA" w:rsidR="007F3F30" w:rsidRPr="009C4D10" w:rsidRDefault="00804B6E" w:rsidP="00CF2E7C">
            <w:pPr>
              <w:rPr>
                <w:rFonts w:cstheme="minorHAnsi"/>
              </w:rPr>
            </w:pPr>
            <w:hyperlink r:id="rId23" w:history="1">
              <w:r w:rsidR="0035266E" w:rsidRPr="0035266E">
                <w:rPr>
                  <w:rStyle w:val="Hyperlink"/>
                </w:rPr>
                <w:t>https://web.archive.org</w:t>
              </w:r>
              <w:r w:rsidR="007F3F30" w:rsidRPr="0035266E">
                <w:rPr>
                  <w:rStyle w:val="Hyperlink"/>
                  <w:rFonts w:ascii="Helvetica" w:hAnsi="Helvetica"/>
                  <w:sz w:val="21"/>
                  <w:szCs w:val="21"/>
                  <w:shd w:val="clear" w:color="auto" w:fill="FFFFFF"/>
                </w:rPr>
                <w:t>/web/20250620201541/https://www.bcb.gov.br/estabilidadefinanceira/exibenormativo?tipo=Resolu%C3%A7%C3%A3o%20BCB&amp;numero=265</w:t>
              </w:r>
            </w:hyperlink>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76530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886BE3">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BD716F" w14:textId="77777777" w:rsidR="000967B5" w:rsidRDefault="000967B5" w:rsidP="00874E39">
      <w:r>
        <w:separator/>
      </w:r>
    </w:p>
  </w:endnote>
  <w:endnote w:type="continuationSeparator" w:id="0">
    <w:p w14:paraId="788219CC" w14:textId="77777777" w:rsidR="000967B5" w:rsidRDefault="000967B5" w:rsidP="00874E39">
      <w:r>
        <w:continuationSeparator/>
      </w:r>
    </w:p>
  </w:endnote>
  <w:endnote w:type="continuationNotice" w:id="1">
    <w:p w14:paraId="3FB861E7" w14:textId="77777777" w:rsidR="000967B5" w:rsidRDefault="000967B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Helvetica">
    <w:panose1 w:val="020B0604020202020204"/>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5F994AC6"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CEB3DD" w14:textId="77777777" w:rsidR="000967B5" w:rsidRDefault="000967B5" w:rsidP="00874E39">
      <w:r>
        <w:separator/>
      </w:r>
    </w:p>
  </w:footnote>
  <w:footnote w:type="continuationSeparator" w:id="0">
    <w:p w14:paraId="54540850" w14:textId="77777777" w:rsidR="000967B5" w:rsidRDefault="000967B5" w:rsidP="00874E39">
      <w:r>
        <w:continuationSeparator/>
      </w:r>
    </w:p>
  </w:footnote>
  <w:footnote w:type="continuationNotice" w:id="1">
    <w:p w14:paraId="5E95CAA7" w14:textId="77777777" w:rsidR="000967B5" w:rsidRDefault="000967B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07A2A" w14:textId="77777777" w:rsidR="000B0053" w:rsidRDefault="000B0053">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79FB68" w14:textId="77777777" w:rsidR="000B0053" w:rsidRDefault="000B0053">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266"/>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67B5"/>
    <w:rsid w:val="000A0D34"/>
    <w:rsid w:val="000A1365"/>
    <w:rsid w:val="000A1490"/>
    <w:rsid w:val="000A1828"/>
    <w:rsid w:val="000A1917"/>
    <w:rsid w:val="000A1C25"/>
    <w:rsid w:val="000A3C19"/>
    <w:rsid w:val="000A50AD"/>
    <w:rsid w:val="000A59F1"/>
    <w:rsid w:val="000A6B31"/>
    <w:rsid w:val="000A6F11"/>
    <w:rsid w:val="000A7C9B"/>
    <w:rsid w:val="000B0053"/>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3318"/>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76B"/>
    <w:rsid w:val="00134550"/>
    <w:rsid w:val="00134681"/>
    <w:rsid w:val="00136F5B"/>
    <w:rsid w:val="00137257"/>
    <w:rsid w:val="00137BB2"/>
    <w:rsid w:val="00140A55"/>
    <w:rsid w:val="00140BD0"/>
    <w:rsid w:val="00141D8E"/>
    <w:rsid w:val="00142B76"/>
    <w:rsid w:val="00144342"/>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5CEC"/>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659"/>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082"/>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BB3"/>
    <w:rsid w:val="00300C2F"/>
    <w:rsid w:val="003020DB"/>
    <w:rsid w:val="00302816"/>
    <w:rsid w:val="00302BC0"/>
    <w:rsid w:val="003032A9"/>
    <w:rsid w:val="00303B91"/>
    <w:rsid w:val="00303D9A"/>
    <w:rsid w:val="00304070"/>
    <w:rsid w:val="00306410"/>
    <w:rsid w:val="00306538"/>
    <w:rsid w:val="00307058"/>
    <w:rsid w:val="003071A8"/>
    <w:rsid w:val="00307464"/>
    <w:rsid w:val="0031020E"/>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66E"/>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7854"/>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697"/>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4B2"/>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1DC"/>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3F05"/>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971"/>
    <w:rsid w:val="00641E18"/>
    <w:rsid w:val="00641ECB"/>
    <w:rsid w:val="006422ED"/>
    <w:rsid w:val="006450DB"/>
    <w:rsid w:val="0064585A"/>
    <w:rsid w:val="00646CCB"/>
    <w:rsid w:val="00647D9B"/>
    <w:rsid w:val="00651DBE"/>
    <w:rsid w:val="006529EC"/>
    <w:rsid w:val="00652C0B"/>
    <w:rsid w:val="00653F30"/>
    <w:rsid w:val="00654858"/>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161"/>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0F"/>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3F30"/>
    <w:rsid w:val="007F4B4B"/>
    <w:rsid w:val="007F51CC"/>
    <w:rsid w:val="007F6DD7"/>
    <w:rsid w:val="007F71BD"/>
    <w:rsid w:val="007F7D9C"/>
    <w:rsid w:val="008017F9"/>
    <w:rsid w:val="00802A4B"/>
    <w:rsid w:val="00803FC8"/>
    <w:rsid w:val="00804575"/>
    <w:rsid w:val="008047E1"/>
    <w:rsid w:val="00804B6E"/>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45A"/>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6BE3"/>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0AEE"/>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0FAE"/>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C73B1"/>
    <w:rsid w:val="009D1847"/>
    <w:rsid w:val="009D1954"/>
    <w:rsid w:val="009D2D3E"/>
    <w:rsid w:val="009D3783"/>
    <w:rsid w:val="009D43A7"/>
    <w:rsid w:val="009D5403"/>
    <w:rsid w:val="009D59A5"/>
    <w:rsid w:val="009D7337"/>
    <w:rsid w:val="009D7B9F"/>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0EF2"/>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0465"/>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4B7"/>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6AA"/>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0EF"/>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465F"/>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2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character" w:styleId="Forte">
    <w:name w:val="Strong"/>
    <w:basedOn w:val="Fontepargpadro"/>
    <w:uiPriority w:val="22"/>
    <w:qFormat/>
    <w:rsid w:val="001443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57205">
      <w:bodyDiv w:val="1"/>
      <w:marLeft w:val="0"/>
      <w:marRight w:val="0"/>
      <w:marTop w:val="0"/>
      <w:marBottom w:val="0"/>
      <w:divBdr>
        <w:top w:val="none" w:sz="0" w:space="0" w:color="auto"/>
        <w:left w:val="none" w:sz="0" w:space="0" w:color="auto"/>
        <w:bottom w:val="none" w:sz="0" w:space="0" w:color="auto"/>
        <w:right w:val="none" w:sz="0" w:space="0" w:color="auto"/>
      </w:divBdr>
    </w:div>
    <w:div w:id="174079878">
      <w:bodyDiv w:val="1"/>
      <w:marLeft w:val="0"/>
      <w:marRight w:val="0"/>
      <w:marTop w:val="0"/>
      <w:marBottom w:val="0"/>
      <w:divBdr>
        <w:top w:val="none" w:sz="0" w:space="0" w:color="auto"/>
        <w:left w:val="none" w:sz="0" w:space="0" w:color="auto"/>
        <w:bottom w:val="none" w:sz="0" w:space="0" w:color="auto"/>
        <w:right w:val="none" w:sz="0" w:space="0" w:color="auto"/>
      </w:divBdr>
    </w:div>
    <w:div w:id="3456002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8727348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4.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0201541/https:/www.bcb.gov.br/estabilidadefinanceira/exibenormativo?tipo=Resolu%C3%A7%C3%A3o%20BCB&amp;numero=265" TargetMode="External"/><Relationship Id="rId10" Type="http://schemas.openxmlformats.org/officeDocument/2006/relationships/endnotes" Target="endnotes.xml"/><Relationship Id="rId19" Type="http://schemas.openxmlformats.org/officeDocument/2006/relationships/hyperlink" Target="https://web.archive.org/web/20250617171744/https://www.bcb.gov.br/estabilidadefinanceira/exibenormativo?tipo=Resolu%C3%A7%C3%A3o%20BCB&amp;numero=3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30195536/https://www.bcb.gov.br/estabilidadefinanceira/exibenormativo?tipo=Resolu%C3%A7%C3%A3o%20BCB&amp;numero=436"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A1F3382-17CF-41B3-A9F1-2D1E83F397CC}"/>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112</Pages>
  <Words>23629</Words>
  <Characters>127597</Characters>
  <Application>Microsoft Office Word</Application>
  <DocSecurity>0</DocSecurity>
  <Lines>1063</Lines>
  <Paragraphs>301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150925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5</cp:revision>
  <cp:lastPrinted>2025-03-21T00:14:00Z</cp:lastPrinted>
  <dcterms:created xsi:type="dcterms:W3CDTF">2025-07-22T02:10:00Z</dcterms:created>
  <dcterms:modified xsi:type="dcterms:W3CDTF">2025-07-22T02:11:00Z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